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412E90" w:rsidRDefault="00412E90" w:rsidP="00412E90"/>
    <w:p w:rsidR="005B1EF2" w:rsidRPr="005B1EF2" w:rsidRDefault="005B1EF2" w:rsidP="005B1EF2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5B1EF2">
        <w:rPr>
          <w:rFonts w:ascii="Arial" w:hAnsi="Arial" w:cs="Arial"/>
          <w:bCs/>
          <w:sz w:val="24"/>
          <w:szCs w:val="24"/>
        </w:rPr>
        <w:t>Признаки элементов статистической совокупности бывают:</w:t>
      </w:r>
    </w:p>
    <w:p w:rsidR="005B1EF2" w:rsidRPr="005B1EF2" w:rsidRDefault="005B1EF2" w:rsidP="005B1EF2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-количественные</w:t>
      </w:r>
    </w:p>
    <w:p w:rsidR="005B1EF2" w:rsidRPr="005B1EF2" w:rsidRDefault="005B1EF2" w:rsidP="005B1EF2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количественные и качественные</w:t>
      </w:r>
    </w:p>
    <w:p w:rsidR="005B1EF2" w:rsidRPr="005B1EF2" w:rsidRDefault="005B1EF2" w:rsidP="005B1EF2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качественные</w:t>
      </w:r>
    </w:p>
    <w:p w:rsidR="005B1EF2" w:rsidRPr="005B1EF2" w:rsidRDefault="005B1EF2" w:rsidP="005B1EF2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безразмерные</w:t>
      </w:r>
    </w:p>
    <w:p w:rsidR="00412E90" w:rsidRDefault="00412E90" w:rsidP="00412E90">
      <w:pPr>
        <w:pStyle w:val="a3"/>
        <w:ind w:left="1500"/>
        <w:rPr>
          <w:rFonts w:ascii="Arial" w:hAnsi="Arial" w:cs="Arial"/>
          <w:sz w:val="24"/>
          <w:szCs w:val="24"/>
        </w:rPr>
      </w:pPr>
    </w:p>
    <w:p w:rsidR="005B1EF2" w:rsidRPr="005B1EF2" w:rsidRDefault="005B1EF2" w:rsidP="005B1EF2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5B1EF2">
        <w:rPr>
          <w:rFonts w:ascii="Arial" w:hAnsi="Arial" w:cs="Arial"/>
          <w:bCs/>
          <w:sz w:val="24"/>
          <w:szCs w:val="24"/>
        </w:rPr>
        <w:t>Перепись населения – это:</w:t>
      </w:r>
    </w:p>
    <w:p w:rsidR="005B1EF2" w:rsidRPr="005B1EF2" w:rsidRDefault="005B1EF2" w:rsidP="005B1EF2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единовременное, специально организованное, сплошное наблюдение</w:t>
      </w:r>
    </w:p>
    <w:p w:rsidR="005B1EF2" w:rsidRPr="005B1EF2" w:rsidRDefault="005B1EF2" w:rsidP="005B1EF2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периодическое, специально организованное, сплошное наблюдение</w:t>
      </w:r>
    </w:p>
    <w:p w:rsidR="005B1EF2" w:rsidRPr="005B1EF2" w:rsidRDefault="005B1EF2" w:rsidP="005B1EF2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периодическое, регистровое, сплошное наблюдение</w:t>
      </w:r>
    </w:p>
    <w:p w:rsidR="005B1EF2" w:rsidRDefault="005B1EF2" w:rsidP="005B1EF2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 xml:space="preserve">периодическое, специально организованное, </w:t>
      </w:r>
      <w:proofErr w:type="spellStart"/>
      <w:r w:rsidRPr="005B1EF2">
        <w:rPr>
          <w:rFonts w:ascii="Arial" w:hAnsi="Arial" w:cs="Arial"/>
          <w:sz w:val="24"/>
          <w:szCs w:val="24"/>
        </w:rPr>
        <w:t>несплошное</w:t>
      </w:r>
      <w:proofErr w:type="spellEnd"/>
      <w:r w:rsidRPr="005B1EF2">
        <w:rPr>
          <w:rFonts w:ascii="Arial" w:hAnsi="Arial" w:cs="Arial"/>
          <w:sz w:val="24"/>
          <w:szCs w:val="24"/>
        </w:rPr>
        <w:t xml:space="preserve"> наблюдение</w:t>
      </w:r>
    </w:p>
    <w:p w:rsidR="005B1EF2" w:rsidRPr="005B1EF2" w:rsidRDefault="005B1EF2" w:rsidP="005B1EF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B1EF2" w:rsidRPr="005B1EF2" w:rsidRDefault="005B1EF2" w:rsidP="005B1EF2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5B1EF2">
        <w:rPr>
          <w:rFonts w:ascii="Arial" w:hAnsi="Arial" w:cs="Arial"/>
          <w:bCs/>
          <w:sz w:val="24"/>
          <w:szCs w:val="24"/>
        </w:rPr>
        <w:t>Аналитические группировки применяются для:</w:t>
      </w:r>
    </w:p>
    <w:p w:rsidR="005B1EF2" w:rsidRPr="005B1EF2" w:rsidRDefault="005B1EF2" w:rsidP="005B1EF2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характеристики взаимосвязей между отдельными признаками</w:t>
      </w:r>
    </w:p>
    <w:p w:rsidR="005B1EF2" w:rsidRPr="005B1EF2" w:rsidRDefault="005B1EF2" w:rsidP="005B1EF2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характеристики структуры</w:t>
      </w:r>
    </w:p>
    <w:p w:rsidR="005B1EF2" w:rsidRDefault="005B1EF2" w:rsidP="005B1EF2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разделения совокупности на качественно однородные типы</w:t>
      </w:r>
    </w:p>
    <w:p w:rsidR="005B1EF2" w:rsidRDefault="005B1EF2" w:rsidP="005B1EF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B1EF2" w:rsidRPr="005B1EF2" w:rsidRDefault="005B1EF2" w:rsidP="005B1EF2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bCs/>
          <w:sz w:val="24"/>
          <w:szCs w:val="24"/>
        </w:rPr>
        <w:t>Укажите вид графика для изображения структуры общественного явления:</w:t>
      </w:r>
    </w:p>
    <w:p w:rsidR="005B1EF2" w:rsidRPr="005B1EF2" w:rsidRDefault="005B1EF2" w:rsidP="005B1EF2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линейный</w:t>
      </w:r>
    </w:p>
    <w:p w:rsidR="005B1EF2" w:rsidRPr="005B1EF2" w:rsidRDefault="005B1EF2" w:rsidP="005B1EF2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столбиковый</w:t>
      </w:r>
    </w:p>
    <w:p w:rsidR="005B1EF2" w:rsidRDefault="005B1EF2" w:rsidP="005B1EF2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секторный</w:t>
      </w:r>
    </w:p>
    <w:p w:rsidR="005B1EF2" w:rsidRPr="005B1EF2" w:rsidRDefault="005B1EF2" w:rsidP="005B1EF2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bCs/>
          <w:sz w:val="24"/>
          <w:szCs w:val="24"/>
        </w:rPr>
        <w:lastRenderedPageBreak/>
        <w:t>Модой называется …</w:t>
      </w:r>
    </w:p>
    <w:p w:rsidR="005B1EF2" w:rsidRPr="005B1EF2" w:rsidRDefault="005B1EF2" w:rsidP="005B1EF2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наиболее часто встречающееся значение признака в данном ряду</w:t>
      </w:r>
    </w:p>
    <w:p w:rsidR="005B1EF2" w:rsidRPr="005B1EF2" w:rsidRDefault="005B1EF2" w:rsidP="005B1EF2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среднее значение признака в данном ряду распределения</w:t>
      </w:r>
    </w:p>
    <w:p w:rsidR="005B1EF2" w:rsidRPr="005B1EF2" w:rsidRDefault="005B1EF2" w:rsidP="005B1EF2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наиболее редко встречающееся значение признака в данном ряду</w:t>
      </w:r>
    </w:p>
    <w:p w:rsidR="005B1EF2" w:rsidRPr="005B1EF2" w:rsidRDefault="005B1EF2" w:rsidP="005B1EF2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значение признака, делящее данную совокупность на две равные части</w:t>
      </w:r>
    </w:p>
    <w:p w:rsidR="005B1EF2" w:rsidRDefault="005B1EF2" w:rsidP="005B1EF2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серединное значение признака в данном ряду распределения</w:t>
      </w:r>
    </w:p>
    <w:p w:rsidR="005B1EF2" w:rsidRPr="005B1EF2" w:rsidRDefault="005B1EF2" w:rsidP="005B1EF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B1EF2" w:rsidRPr="005B1EF2" w:rsidRDefault="005B1EF2" w:rsidP="005B1EF2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5B1EF2">
        <w:rPr>
          <w:rFonts w:ascii="Arial" w:hAnsi="Arial" w:cs="Arial"/>
          <w:bCs/>
          <w:sz w:val="24"/>
          <w:szCs w:val="24"/>
        </w:rPr>
        <w:t>Средняя величина признака равна 22, а коэффициент вариации признака - 26%. Дисперсия признака (с точностью до 0,0001) равна …</w:t>
      </w:r>
    </w:p>
    <w:p w:rsidR="005B1EF2" w:rsidRPr="005B1EF2" w:rsidRDefault="005B1EF2" w:rsidP="005B1EF2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23,1748</w:t>
      </w:r>
    </w:p>
    <w:p w:rsidR="005B1EF2" w:rsidRPr="005B1EF2" w:rsidRDefault="005B1EF2" w:rsidP="005B1EF2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32,7184</w:t>
      </w:r>
    </w:p>
    <w:p w:rsidR="005B1EF2" w:rsidRDefault="005B1EF2" w:rsidP="005B1EF2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41,1215</w:t>
      </w:r>
    </w:p>
    <w:p w:rsidR="005B1EF2" w:rsidRPr="005B1EF2" w:rsidRDefault="005B1EF2" w:rsidP="005B1EF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B1EF2" w:rsidRPr="005B1EF2" w:rsidRDefault="005B1EF2" w:rsidP="005B1EF2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bCs/>
          <w:sz w:val="24"/>
          <w:szCs w:val="24"/>
        </w:rPr>
        <w:t>Размер ошибки выборки прямо пропорционален:</w:t>
      </w:r>
    </w:p>
    <w:p w:rsidR="005B1EF2" w:rsidRPr="005B1EF2" w:rsidRDefault="005B1EF2" w:rsidP="005B1EF2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дисперсии признака</w:t>
      </w:r>
    </w:p>
    <w:p w:rsidR="005B1EF2" w:rsidRDefault="005B1EF2" w:rsidP="005B1EF2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 xml:space="preserve">среднему </w:t>
      </w:r>
      <w:proofErr w:type="spellStart"/>
      <w:r w:rsidRPr="005B1EF2">
        <w:rPr>
          <w:rFonts w:ascii="Arial" w:hAnsi="Arial" w:cs="Arial"/>
          <w:sz w:val="24"/>
          <w:szCs w:val="24"/>
        </w:rPr>
        <w:t>квадратическому</w:t>
      </w:r>
      <w:proofErr w:type="spellEnd"/>
      <w:r w:rsidRPr="005B1EF2">
        <w:rPr>
          <w:rFonts w:ascii="Arial" w:hAnsi="Arial" w:cs="Arial"/>
          <w:sz w:val="24"/>
          <w:szCs w:val="24"/>
        </w:rPr>
        <w:t xml:space="preserve"> отклонению признака</w:t>
      </w:r>
    </w:p>
    <w:p w:rsidR="005B1EF2" w:rsidRPr="005B1EF2" w:rsidRDefault="005B1EF2" w:rsidP="005B1EF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B1EF2" w:rsidRPr="005B1EF2" w:rsidRDefault="005B1EF2" w:rsidP="005B1EF2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bCs/>
          <w:sz w:val="24"/>
          <w:szCs w:val="24"/>
        </w:rPr>
        <w:t xml:space="preserve">Урожайность пшеницы в 2002 году составила 17,6 </w:t>
      </w:r>
      <w:proofErr w:type="spellStart"/>
      <w:r w:rsidRPr="005B1EF2">
        <w:rPr>
          <w:rFonts w:ascii="Arial" w:hAnsi="Arial" w:cs="Arial"/>
          <w:bCs/>
          <w:sz w:val="24"/>
          <w:szCs w:val="24"/>
        </w:rPr>
        <w:t>ц</w:t>
      </w:r>
      <w:proofErr w:type="spellEnd"/>
      <w:r w:rsidRPr="005B1EF2">
        <w:rPr>
          <w:rFonts w:ascii="Arial" w:hAnsi="Arial" w:cs="Arial"/>
          <w:bCs/>
          <w:sz w:val="24"/>
          <w:szCs w:val="24"/>
        </w:rPr>
        <w:t xml:space="preserve">/га. Прирост урожайности в 2001 году по сравнению с 1997 годом составила 11,2%, а в 2002 году по сравнению с 2001 годом урожайность составила 98,9%. Урожайность в 1997 году (с точностью до 1 </w:t>
      </w:r>
      <w:proofErr w:type="spellStart"/>
      <w:r w:rsidRPr="005B1EF2">
        <w:rPr>
          <w:rFonts w:ascii="Arial" w:hAnsi="Arial" w:cs="Arial"/>
          <w:bCs/>
          <w:sz w:val="24"/>
          <w:szCs w:val="24"/>
        </w:rPr>
        <w:t>ц</w:t>
      </w:r>
      <w:proofErr w:type="spellEnd"/>
      <w:r w:rsidRPr="005B1EF2">
        <w:rPr>
          <w:rFonts w:ascii="Arial" w:hAnsi="Arial" w:cs="Arial"/>
          <w:bCs/>
          <w:sz w:val="24"/>
          <w:szCs w:val="24"/>
        </w:rPr>
        <w:t>/га) равна …</w:t>
      </w:r>
    </w:p>
    <w:p w:rsidR="005B1EF2" w:rsidRPr="005B1EF2" w:rsidRDefault="005B1EF2" w:rsidP="005B1EF2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14</w:t>
      </w:r>
    </w:p>
    <w:p w:rsidR="005B1EF2" w:rsidRPr="005B1EF2" w:rsidRDefault="005B1EF2" w:rsidP="005B1EF2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16</w:t>
      </w:r>
    </w:p>
    <w:p w:rsidR="005B1EF2" w:rsidRPr="005B1EF2" w:rsidRDefault="005B1EF2" w:rsidP="005B1EF2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17</w:t>
      </w:r>
    </w:p>
    <w:p w:rsidR="00415BE8" w:rsidRDefault="005B1EF2" w:rsidP="00415BE8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5B1EF2">
        <w:rPr>
          <w:rFonts w:ascii="Arial" w:hAnsi="Arial" w:cs="Arial"/>
          <w:sz w:val="24"/>
          <w:szCs w:val="24"/>
        </w:rPr>
        <w:t>21</w:t>
      </w:r>
    </w:p>
    <w:p w:rsidR="00415BE8" w:rsidRDefault="00415BE8" w:rsidP="00415BE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15BE8" w:rsidRPr="00415BE8" w:rsidRDefault="00415BE8" w:rsidP="00415BE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bCs/>
          <w:sz w:val="24"/>
          <w:szCs w:val="24"/>
        </w:rPr>
        <w:t>Агрегатный индекс рассчитывается как средняя …</w:t>
      </w:r>
    </w:p>
    <w:p w:rsidR="00415BE8" w:rsidRPr="00415BE8" w:rsidRDefault="00415BE8" w:rsidP="00415BE8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>арифметическая из индивидуальных индексов</w:t>
      </w:r>
    </w:p>
    <w:p w:rsidR="00415BE8" w:rsidRPr="00415BE8" w:rsidRDefault="00415BE8" w:rsidP="00415BE8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 xml:space="preserve">геометрическая величина из индексов </w:t>
      </w:r>
      <w:proofErr w:type="spellStart"/>
      <w:r w:rsidRPr="00415BE8">
        <w:rPr>
          <w:rFonts w:ascii="Arial" w:hAnsi="Arial" w:cs="Arial"/>
          <w:sz w:val="24"/>
          <w:szCs w:val="24"/>
        </w:rPr>
        <w:t>Пааше</w:t>
      </w:r>
      <w:proofErr w:type="spellEnd"/>
      <w:r w:rsidRPr="00415BE8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415BE8">
        <w:rPr>
          <w:rFonts w:ascii="Arial" w:hAnsi="Arial" w:cs="Arial"/>
          <w:sz w:val="24"/>
          <w:szCs w:val="24"/>
        </w:rPr>
        <w:t>Ласпейреса</w:t>
      </w:r>
      <w:proofErr w:type="spellEnd"/>
    </w:p>
    <w:p w:rsidR="00415BE8" w:rsidRPr="00415BE8" w:rsidRDefault="00415BE8" w:rsidP="00415BE8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 xml:space="preserve">арифметическая из индексов </w:t>
      </w:r>
      <w:proofErr w:type="spellStart"/>
      <w:r w:rsidRPr="00415BE8">
        <w:rPr>
          <w:rFonts w:ascii="Arial" w:hAnsi="Arial" w:cs="Arial"/>
          <w:sz w:val="24"/>
          <w:szCs w:val="24"/>
        </w:rPr>
        <w:t>Пааше</w:t>
      </w:r>
      <w:proofErr w:type="spellEnd"/>
      <w:r w:rsidRPr="00415BE8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415BE8">
        <w:rPr>
          <w:rFonts w:ascii="Arial" w:hAnsi="Arial" w:cs="Arial"/>
          <w:sz w:val="24"/>
          <w:szCs w:val="24"/>
        </w:rPr>
        <w:t>Ласпейреса</w:t>
      </w:r>
      <w:proofErr w:type="spellEnd"/>
    </w:p>
    <w:p w:rsidR="00415BE8" w:rsidRPr="00415BE8" w:rsidRDefault="00415BE8" w:rsidP="00415BE8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 xml:space="preserve">гармоническая из индексов </w:t>
      </w:r>
      <w:proofErr w:type="spellStart"/>
      <w:r w:rsidRPr="00415BE8">
        <w:rPr>
          <w:rFonts w:ascii="Arial" w:hAnsi="Arial" w:cs="Arial"/>
          <w:sz w:val="24"/>
          <w:szCs w:val="24"/>
        </w:rPr>
        <w:t>Пааше</w:t>
      </w:r>
      <w:proofErr w:type="spellEnd"/>
      <w:r w:rsidRPr="00415BE8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415BE8">
        <w:rPr>
          <w:rFonts w:ascii="Arial" w:hAnsi="Arial" w:cs="Arial"/>
          <w:sz w:val="24"/>
          <w:szCs w:val="24"/>
        </w:rPr>
        <w:t>Ласпейреса</w:t>
      </w:r>
      <w:proofErr w:type="spellEnd"/>
    </w:p>
    <w:p w:rsidR="00415BE8" w:rsidRDefault="00415BE8" w:rsidP="00415BE8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>геометрическая величина из индивидуальных индексов</w:t>
      </w:r>
    </w:p>
    <w:p w:rsidR="00415BE8" w:rsidRDefault="00415BE8" w:rsidP="00415BE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15BE8" w:rsidRPr="00415BE8" w:rsidRDefault="00415BE8" w:rsidP="00415BE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bCs/>
          <w:sz w:val="24"/>
          <w:szCs w:val="24"/>
        </w:rPr>
        <w:t>Для измерения тесноты корреляционной связи между двумя количественными признаками используются:</w:t>
      </w:r>
    </w:p>
    <w:p w:rsidR="00415BE8" w:rsidRPr="00415BE8" w:rsidRDefault="00415BE8" w:rsidP="00415BE8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>коэффициент корреляции рангов</w:t>
      </w:r>
    </w:p>
    <w:p w:rsidR="00415BE8" w:rsidRPr="00415BE8" w:rsidRDefault="00415BE8" w:rsidP="00415BE8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>коэффициент эластичности</w:t>
      </w:r>
    </w:p>
    <w:p w:rsidR="00415BE8" w:rsidRPr="00415BE8" w:rsidRDefault="00415BE8" w:rsidP="00415BE8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>коэффициент корреляции знаков</w:t>
      </w:r>
    </w:p>
    <w:p w:rsidR="00415BE8" w:rsidRDefault="00415BE8" w:rsidP="00415BE8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>линейный коэффициент корреляции</w:t>
      </w:r>
    </w:p>
    <w:p w:rsidR="00415BE8" w:rsidRPr="00415BE8" w:rsidRDefault="00415BE8" w:rsidP="00415BE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15BE8" w:rsidRPr="00415BE8" w:rsidRDefault="00415BE8" w:rsidP="00415BE8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bCs/>
          <w:sz w:val="24"/>
          <w:szCs w:val="24"/>
        </w:rPr>
        <w:t>Дисперсионный анализ – это:</w:t>
      </w:r>
    </w:p>
    <w:p w:rsidR="00415BE8" w:rsidRPr="00415BE8" w:rsidRDefault="00415BE8" w:rsidP="00415BE8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>раздел математической статистики, изучающий результаты многомерных наблюдений</w:t>
      </w:r>
    </w:p>
    <w:p w:rsidR="00415BE8" w:rsidRPr="00415BE8" w:rsidRDefault="00415BE8" w:rsidP="00415BE8">
      <w:pPr>
        <w:pStyle w:val="a3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lastRenderedPageBreak/>
        <w:t>раздел математической статистики, изучающий степень влияния одной или нескольких факторных признаков на результативный при небольшом числе наблюдений</w:t>
      </w:r>
    </w:p>
    <w:p w:rsidR="00415BE8" w:rsidRPr="00415BE8" w:rsidRDefault="00415BE8" w:rsidP="00415BE8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>методы, направленные на выявление обобщающих неявных характеристик исследуемого явления на основе связей измеряемых элементарных признаков</w:t>
      </w:r>
    </w:p>
    <w:p w:rsidR="00415BE8" w:rsidRPr="00415BE8" w:rsidRDefault="00415BE8" w:rsidP="00415BE8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>метод многомерных группировок, предназначенный для распределения объектов на некоторые одн</w:t>
      </w:r>
      <w:r w:rsidRPr="00415BE8">
        <w:rPr>
          <w:rFonts w:ascii="Arial" w:hAnsi="Arial" w:cs="Arial"/>
          <w:sz w:val="24"/>
          <w:szCs w:val="24"/>
        </w:rPr>
        <w:t>о</w:t>
      </w:r>
      <w:r w:rsidRPr="00415BE8">
        <w:rPr>
          <w:rFonts w:ascii="Arial" w:hAnsi="Arial" w:cs="Arial"/>
          <w:sz w:val="24"/>
          <w:szCs w:val="24"/>
        </w:rPr>
        <w:t>родные группы</w:t>
      </w:r>
    </w:p>
    <w:p w:rsidR="00415BE8" w:rsidRDefault="00415BE8" w:rsidP="00415BE8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>метод многомерных классификаций, задача которого заключается в нахождении правила отнесения и</w:t>
      </w:r>
      <w:r w:rsidRPr="00415BE8">
        <w:rPr>
          <w:rFonts w:ascii="Arial" w:hAnsi="Arial" w:cs="Arial"/>
          <w:sz w:val="24"/>
          <w:szCs w:val="24"/>
        </w:rPr>
        <w:t>с</w:t>
      </w:r>
      <w:r w:rsidRPr="00415BE8">
        <w:rPr>
          <w:rFonts w:ascii="Arial" w:hAnsi="Arial" w:cs="Arial"/>
          <w:sz w:val="24"/>
          <w:szCs w:val="24"/>
        </w:rPr>
        <w:t>следуемых объектов к одной из определенных групп</w:t>
      </w:r>
    </w:p>
    <w:p w:rsidR="00415BE8" w:rsidRDefault="00415BE8" w:rsidP="00415BE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15BE8" w:rsidRPr="00415BE8" w:rsidRDefault="00415BE8" w:rsidP="00415BE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bCs/>
          <w:sz w:val="24"/>
          <w:szCs w:val="24"/>
        </w:rPr>
        <w:t>Какие демографические признаки используются при изучении состава населения:</w:t>
      </w:r>
    </w:p>
    <w:p w:rsidR="00415BE8" w:rsidRPr="00415BE8" w:rsidRDefault="00415BE8" w:rsidP="00415BE8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>пол</w:t>
      </w:r>
    </w:p>
    <w:p w:rsidR="00415BE8" w:rsidRPr="00415BE8" w:rsidRDefault="00415BE8" w:rsidP="00415BE8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>территория</w:t>
      </w:r>
    </w:p>
    <w:p w:rsidR="00415BE8" w:rsidRPr="00415BE8" w:rsidRDefault="00415BE8" w:rsidP="00415BE8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>возраст</w:t>
      </w:r>
    </w:p>
    <w:p w:rsidR="00415BE8" w:rsidRPr="00415BE8" w:rsidRDefault="00415BE8" w:rsidP="00415BE8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>тип характера</w:t>
      </w:r>
    </w:p>
    <w:p w:rsidR="00415BE8" w:rsidRPr="00415BE8" w:rsidRDefault="00415BE8" w:rsidP="00415BE8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>семейное положение</w:t>
      </w:r>
    </w:p>
    <w:p w:rsidR="00415BE8" w:rsidRPr="00415BE8" w:rsidRDefault="00415BE8" w:rsidP="00415BE8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>национальность</w:t>
      </w:r>
    </w:p>
    <w:p w:rsidR="00415BE8" w:rsidRDefault="00415BE8" w:rsidP="00415BE8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>образование</w:t>
      </w:r>
    </w:p>
    <w:p w:rsidR="00415BE8" w:rsidRDefault="00415BE8" w:rsidP="00415BE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15BE8" w:rsidRPr="00415BE8" w:rsidRDefault="00415BE8" w:rsidP="00415BE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bCs/>
          <w:sz w:val="24"/>
          <w:szCs w:val="24"/>
        </w:rPr>
        <w:t>Имеются следующие данные о численности населения населенного пункта за год (чел.). Чи</w:t>
      </w:r>
      <w:r w:rsidRPr="00415BE8">
        <w:rPr>
          <w:rFonts w:ascii="Arial" w:hAnsi="Arial" w:cs="Arial"/>
          <w:bCs/>
          <w:sz w:val="24"/>
          <w:szCs w:val="24"/>
        </w:rPr>
        <w:t>с</w:t>
      </w:r>
      <w:r w:rsidRPr="00415BE8">
        <w:rPr>
          <w:rFonts w:ascii="Arial" w:hAnsi="Arial" w:cs="Arial"/>
          <w:bCs/>
          <w:sz w:val="24"/>
          <w:szCs w:val="24"/>
        </w:rPr>
        <w:t>ленность населения на начало года – 241400, число родившихся – 3380, число умерших – 2680, прибыло на постоянное жительство – 1800, убыло в другие населенные пункты – 600. Коэффиц</w:t>
      </w:r>
      <w:r w:rsidRPr="00415BE8">
        <w:rPr>
          <w:rFonts w:ascii="Arial" w:hAnsi="Arial" w:cs="Arial"/>
          <w:bCs/>
          <w:sz w:val="24"/>
          <w:szCs w:val="24"/>
        </w:rPr>
        <w:t>и</w:t>
      </w:r>
      <w:r w:rsidRPr="00415BE8">
        <w:rPr>
          <w:rFonts w:ascii="Arial" w:hAnsi="Arial" w:cs="Arial"/>
          <w:bCs/>
          <w:sz w:val="24"/>
          <w:szCs w:val="24"/>
        </w:rPr>
        <w:t>ент механического прироста населения (с точностью до 0,01 промилле) равен:</w:t>
      </w:r>
    </w:p>
    <w:p w:rsidR="00415BE8" w:rsidRPr="00415BE8" w:rsidRDefault="00415BE8" w:rsidP="00415BE8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>3,95</w:t>
      </w:r>
    </w:p>
    <w:p w:rsidR="00415BE8" w:rsidRPr="00415BE8" w:rsidRDefault="00415BE8" w:rsidP="00415BE8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>4,95</w:t>
      </w:r>
    </w:p>
    <w:p w:rsidR="00415BE8" w:rsidRDefault="00415BE8" w:rsidP="00415BE8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>5,03</w:t>
      </w:r>
    </w:p>
    <w:p w:rsidR="00415BE8" w:rsidRDefault="00415BE8" w:rsidP="00415BE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15BE8" w:rsidRPr="00415BE8" w:rsidRDefault="00415BE8" w:rsidP="00415BE8">
      <w:pPr>
        <w:pStyle w:val="a3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bCs/>
          <w:sz w:val="24"/>
          <w:szCs w:val="24"/>
        </w:rPr>
        <w:t>Уровень экономически активного населения определяется как отношение числа экономич</w:t>
      </w:r>
      <w:r w:rsidRPr="00415BE8">
        <w:rPr>
          <w:rFonts w:ascii="Arial" w:hAnsi="Arial" w:cs="Arial"/>
          <w:bCs/>
          <w:sz w:val="24"/>
          <w:szCs w:val="24"/>
        </w:rPr>
        <w:t>е</w:t>
      </w:r>
      <w:r w:rsidRPr="00415BE8">
        <w:rPr>
          <w:rFonts w:ascii="Arial" w:hAnsi="Arial" w:cs="Arial"/>
          <w:bCs/>
          <w:sz w:val="24"/>
          <w:szCs w:val="24"/>
        </w:rPr>
        <w:t>ски активного населения:</w:t>
      </w:r>
    </w:p>
    <w:p w:rsidR="00415BE8" w:rsidRPr="00415BE8" w:rsidRDefault="00415BE8" w:rsidP="00415BE8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>к средней численности населения</w:t>
      </w:r>
    </w:p>
    <w:p w:rsidR="00415BE8" w:rsidRDefault="00415BE8" w:rsidP="00415BE8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15BE8">
        <w:rPr>
          <w:rFonts w:ascii="Arial" w:hAnsi="Arial" w:cs="Arial"/>
          <w:sz w:val="24"/>
          <w:szCs w:val="24"/>
        </w:rPr>
        <w:t>к занятому населению</w:t>
      </w:r>
    </w:p>
    <w:p w:rsidR="00415BE8" w:rsidRPr="00415BE8" w:rsidRDefault="00415BE8" w:rsidP="00415BE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15BE8" w:rsidRPr="000C576B" w:rsidRDefault="00415BE8" w:rsidP="00415BE8">
      <w:pPr>
        <w:pStyle w:val="a3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0C576B">
        <w:rPr>
          <w:rFonts w:ascii="Arial" w:hAnsi="Arial" w:cs="Arial"/>
          <w:bCs/>
          <w:sz w:val="24"/>
          <w:szCs w:val="24"/>
        </w:rPr>
        <w:t>По методологии СНС национальное богатство определяется как совокупность</w:t>
      </w:r>
      <w:r w:rsidRPr="000C576B">
        <w:rPr>
          <w:rFonts w:ascii="Arial" w:hAnsi="Arial" w:cs="Arial"/>
          <w:sz w:val="24"/>
          <w:szCs w:val="24"/>
        </w:rPr>
        <w:t>:</w:t>
      </w:r>
    </w:p>
    <w:p w:rsidR="00415BE8" w:rsidRPr="000C576B" w:rsidRDefault="00415BE8" w:rsidP="00415BE8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0C576B">
        <w:rPr>
          <w:rFonts w:ascii="Arial" w:hAnsi="Arial" w:cs="Arial"/>
          <w:sz w:val="24"/>
          <w:szCs w:val="24"/>
        </w:rPr>
        <w:t>учтенных и вовлеченных в экономический оборот природных ресурсов</w:t>
      </w:r>
    </w:p>
    <w:p w:rsidR="00415BE8" w:rsidRPr="000C576B" w:rsidRDefault="00415BE8" w:rsidP="00415BE8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0C576B">
        <w:rPr>
          <w:rFonts w:ascii="Arial" w:hAnsi="Arial" w:cs="Arial"/>
          <w:sz w:val="24"/>
          <w:szCs w:val="24"/>
        </w:rPr>
        <w:t>материальных и нематериальных активов</w:t>
      </w:r>
    </w:p>
    <w:p w:rsidR="00415BE8" w:rsidRPr="000C576B" w:rsidRDefault="00415BE8" w:rsidP="00415BE8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0C576B">
        <w:rPr>
          <w:rFonts w:ascii="Arial" w:hAnsi="Arial" w:cs="Arial"/>
          <w:sz w:val="24"/>
          <w:szCs w:val="24"/>
        </w:rPr>
        <w:t>финансовых и нефинансовых активов</w:t>
      </w:r>
    </w:p>
    <w:p w:rsidR="00415BE8" w:rsidRPr="000C576B" w:rsidRDefault="00415BE8" w:rsidP="00415BE8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0C576B">
        <w:rPr>
          <w:rFonts w:ascii="Arial" w:hAnsi="Arial" w:cs="Arial"/>
          <w:sz w:val="24"/>
          <w:szCs w:val="24"/>
        </w:rPr>
        <w:t>материальных благ и природных ресурсов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BD2D22" w:rsidRDefault="00BD2D22"/>
    <w:sectPr w:rsidR="00BD2D22" w:rsidSect="00BD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D45DC"/>
    <w:multiLevelType w:val="hybridMultilevel"/>
    <w:tmpl w:val="F32454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827DAF"/>
    <w:multiLevelType w:val="hybridMultilevel"/>
    <w:tmpl w:val="992CBE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08015D"/>
    <w:multiLevelType w:val="hybridMultilevel"/>
    <w:tmpl w:val="63DAF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8465CB"/>
    <w:multiLevelType w:val="hybridMultilevel"/>
    <w:tmpl w:val="FDB6F7B8"/>
    <w:lvl w:ilvl="0" w:tplc="4EA2070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13112"/>
    <w:multiLevelType w:val="hybridMultilevel"/>
    <w:tmpl w:val="8A521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66353"/>
    <w:multiLevelType w:val="hybridMultilevel"/>
    <w:tmpl w:val="ECDE94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C6045C"/>
    <w:multiLevelType w:val="hybridMultilevel"/>
    <w:tmpl w:val="AAB8C9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E03111"/>
    <w:multiLevelType w:val="hybridMultilevel"/>
    <w:tmpl w:val="11DC7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B50"/>
    <w:multiLevelType w:val="hybridMultilevel"/>
    <w:tmpl w:val="A36CDD2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8B1DCC"/>
    <w:multiLevelType w:val="hybridMultilevel"/>
    <w:tmpl w:val="7806E5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17418D0"/>
    <w:multiLevelType w:val="hybridMultilevel"/>
    <w:tmpl w:val="12FCC6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>
    <w:nsid w:val="225A1C08"/>
    <w:multiLevelType w:val="hybridMultilevel"/>
    <w:tmpl w:val="430C6D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66D59CC"/>
    <w:multiLevelType w:val="hybridMultilevel"/>
    <w:tmpl w:val="24EA8E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BB38A3"/>
    <w:multiLevelType w:val="hybridMultilevel"/>
    <w:tmpl w:val="10087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1F2ACA"/>
    <w:multiLevelType w:val="hybridMultilevel"/>
    <w:tmpl w:val="66D2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E105F9"/>
    <w:multiLevelType w:val="hybridMultilevel"/>
    <w:tmpl w:val="3EB4FF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43ED2723"/>
    <w:multiLevelType w:val="hybridMultilevel"/>
    <w:tmpl w:val="AB3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F00B3E"/>
    <w:multiLevelType w:val="hybridMultilevel"/>
    <w:tmpl w:val="076E4D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DF4668"/>
    <w:multiLevelType w:val="hybridMultilevel"/>
    <w:tmpl w:val="AD38AD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E35545"/>
    <w:multiLevelType w:val="hybridMultilevel"/>
    <w:tmpl w:val="95100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490634F6"/>
    <w:multiLevelType w:val="hybridMultilevel"/>
    <w:tmpl w:val="58D0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AA4823"/>
    <w:multiLevelType w:val="hybridMultilevel"/>
    <w:tmpl w:val="47169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D066B9"/>
    <w:multiLevelType w:val="hybridMultilevel"/>
    <w:tmpl w:val="8CEA6D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05D50EA"/>
    <w:multiLevelType w:val="hybridMultilevel"/>
    <w:tmpl w:val="CB74C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FE0E5B"/>
    <w:multiLevelType w:val="hybridMultilevel"/>
    <w:tmpl w:val="1272F3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C131C3B"/>
    <w:multiLevelType w:val="hybridMultilevel"/>
    <w:tmpl w:val="B86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8920F4"/>
    <w:multiLevelType w:val="hybridMultilevel"/>
    <w:tmpl w:val="C6F4F5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21210E3"/>
    <w:multiLevelType w:val="hybridMultilevel"/>
    <w:tmpl w:val="EB22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BA1D52"/>
    <w:multiLevelType w:val="hybridMultilevel"/>
    <w:tmpl w:val="3760ED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49B50A7"/>
    <w:multiLevelType w:val="hybridMultilevel"/>
    <w:tmpl w:val="D3982F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7754AA5"/>
    <w:multiLevelType w:val="hybridMultilevel"/>
    <w:tmpl w:val="117C1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D180BD4"/>
    <w:multiLevelType w:val="hybridMultilevel"/>
    <w:tmpl w:val="88129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9B2373"/>
    <w:multiLevelType w:val="hybridMultilevel"/>
    <w:tmpl w:val="171E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C03DE9"/>
    <w:multiLevelType w:val="hybridMultilevel"/>
    <w:tmpl w:val="37A28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4">
    <w:nsid w:val="7AFB303E"/>
    <w:multiLevelType w:val="hybridMultilevel"/>
    <w:tmpl w:val="7734A3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6"/>
  </w:num>
  <w:num w:numId="3">
    <w:abstractNumId w:val="2"/>
  </w:num>
  <w:num w:numId="4">
    <w:abstractNumId w:val="25"/>
  </w:num>
  <w:num w:numId="5">
    <w:abstractNumId w:val="17"/>
  </w:num>
  <w:num w:numId="6">
    <w:abstractNumId w:val="30"/>
  </w:num>
  <w:num w:numId="7">
    <w:abstractNumId w:val="10"/>
  </w:num>
  <w:num w:numId="8">
    <w:abstractNumId w:val="15"/>
  </w:num>
  <w:num w:numId="9">
    <w:abstractNumId w:val="16"/>
  </w:num>
  <w:num w:numId="10">
    <w:abstractNumId w:val="32"/>
  </w:num>
  <w:num w:numId="11">
    <w:abstractNumId w:val="20"/>
  </w:num>
  <w:num w:numId="12">
    <w:abstractNumId w:val="3"/>
  </w:num>
  <w:num w:numId="13">
    <w:abstractNumId w:val="27"/>
  </w:num>
  <w:num w:numId="14">
    <w:abstractNumId w:val="8"/>
  </w:num>
  <w:num w:numId="15">
    <w:abstractNumId w:val="19"/>
  </w:num>
  <w:num w:numId="16">
    <w:abstractNumId w:val="14"/>
  </w:num>
  <w:num w:numId="17">
    <w:abstractNumId w:val="31"/>
  </w:num>
  <w:num w:numId="18">
    <w:abstractNumId w:val="18"/>
  </w:num>
  <w:num w:numId="19">
    <w:abstractNumId w:val="1"/>
  </w:num>
  <w:num w:numId="20">
    <w:abstractNumId w:val="13"/>
  </w:num>
  <w:num w:numId="21">
    <w:abstractNumId w:val="12"/>
  </w:num>
  <w:num w:numId="22">
    <w:abstractNumId w:val="4"/>
  </w:num>
  <w:num w:numId="23">
    <w:abstractNumId w:val="24"/>
  </w:num>
  <w:num w:numId="24">
    <w:abstractNumId w:val="5"/>
  </w:num>
  <w:num w:numId="25">
    <w:abstractNumId w:val="9"/>
  </w:num>
  <w:num w:numId="26">
    <w:abstractNumId w:val="26"/>
  </w:num>
  <w:num w:numId="27">
    <w:abstractNumId w:val="21"/>
  </w:num>
  <w:num w:numId="28">
    <w:abstractNumId w:val="29"/>
  </w:num>
  <w:num w:numId="29">
    <w:abstractNumId w:val="0"/>
  </w:num>
  <w:num w:numId="30">
    <w:abstractNumId w:val="11"/>
  </w:num>
  <w:num w:numId="31">
    <w:abstractNumId w:val="23"/>
  </w:num>
  <w:num w:numId="32">
    <w:abstractNumId w:val="28"/>
  </w:num>
  <w:num w:numId="33">
    <w:abstractNumId w:val="7"/>
  </w:num>
  <w:num w:numId="34">
    <w:abstractNumId w:val="34"/>
  </w:num>
  <w:num w:numId="3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12E90"/>
    <w:rsid w:val="000C576B"/>
    <w:rsid w:val="00412E90"/>
    <w:rsid w:val="00415BE8"/>
    <w:rsid w:val="005B1EF2"/>
    <w:rsid w:val="0079148C"/>
    <w:rsid w:val="00BD2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90"/>
    <w:pPr>
      <w:ind w:left="720"/>
      <w:contextualSpacing/>
    </w:pPr>
  </w:style>
  <w:style w:type="table" w:styleId="a4">
    <w:name w:val="Table Grid"/>
    <w:basedOn w:val="a1"/>
    <w:uiPriority w:val="59"/>
    <w:rsid w:val="0041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1FE75-96E3-4E91-B6D3-E05BBEDA9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2012-04-20T10:31:00Z</dcterms:created>
  <dcterms:modified xsi:type="dcterms:W3CDTF">2012-04-23T13:33:00Z</dcterms:modified>
</cp:coreProperties>
</file>